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78" w:lineRule="exact"/>
        <w:jc w:val="center"/>
        <w:textAlignment w:val="auto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78" w:lineRule="exact"/>
        <w:textAlignment w:val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为加强全</w:t>
      </w:r>
      <w:r>
        <w:rPr>
          <w:rFonts w:hint="default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经营性公墓管理，规范经营性公墓的建设和经营行为，</w:t>
      </w:r>
      <w:r>
        <w:rPr>
          <w:rFonts w:hint="default" w:ascii="仿宋_GB2312" w:eastAsia="仿宋_GB2312"/>
          <w:sz w:val="32"/>
          <w:szCs w:val="32"/>
        </w:rPr>
        <w:t>推进我市</w:t>
      </w:r>
      <w:r>
        <w:rPr>
          <w:rFonts w:hint="eastAsia" w:ascii="仿宋_GB2312" w:eastAsia="仿宋_GB2312"/>
          <w:sz w:val="32"/>
          <w:szCs w:val="32"/>
        </w:rPr>
        <w:t>殡葬事业</w:t>
      </w:r>
      <w:r>
        <w:rPr>
          <w:rFonts w:hint="default" w:ascii="仿宋_GB2312" w:eastAsia="仿宋_GB2312"/>
          <w:sz w:val="32"/>
          <w:szCs w:val="32"/>
        </w:rPr>
        <w:t>高质量</w:t>
      </w:r>
      <w:r>
        <w:rPr>
          <w:rFonts w:hint="eastAsia" w:ascii="仿宋_GB2312" w:eastAsia="仿宋_GB2312"/>
          <w:sz w:val="32"/>
          <w:szCs w:val="32"/>
        </w:rPr>
        <w:t>发展，根据国务院《殡葬管理条例》、民政部《公墓管理暂行办法》、《河南省殡葬管理办法》</w:t>
      </w:r>
      <w:r>
        <w:rPr>
          <w:rFonts w:hint="default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default" w:ascii="仿宋_GB2312" w:eastAsia="仿宋_GB2312"/>
          <w:sz w:val="32"/>
          <w:szCs w:val="32"/>
        </w:rPr>
        <w:t>中共河南省委办公厅河南省人民政府办公厅关于印发&lt;河南生推进移风易俗倡树文明殡葬新风实施方案&gt;</w:t>
      </w:r>
      <w:r>
        <w:rPr>
          <w:rFonts w:hint="eastAsia" w:ascii="仿宋_GB2312" w:eastAsia="仿宋_GB2312"/>
          <w:sz w:val="32"/>
          <w:szCs w:val="32"/>
        </w:rPr>
        <w:t>的通知》（豫办〔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default"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〕1</w:t>
      </w:r>
      <w:r>
        <w:rPr>
          <w:rFonts w:hint="default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default" w:ascii="仿宋_GB2312" w:eastAsia="仿宋_GB2312"/>
          <w:sz w:val="32"/>
          <w:szCs w:val="32"/>
        </w:rPr>
        <w:t>、《河南省民政厅关于印发&lt;河南省经营性公墓年检实施办法&gt;的通知》</w:t>
      </w:r>
      <w:r>
        <w:rPr>
          <w:rFonts w:hint="eastAsia" w:ascii="仿宋_GB2312" w:eastAsia="仿宋_GB2312"/>
          <w:sz w:val="32"/>
          <w:szCs w:val="32"/>
        </w:rPr>
        <w:t>（豫办〔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default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default" w:ascii="仿宋_GB2312" w:eastAsia="仿宋_GB2312"/>
          <w:sz w:val="32"/>
          <w:szCs w:val="32"/>
        </w:rPr>
        <w:t>、《河南省民政厅关于改革经营性公墓审批监管工作的通知》</w:t>
      </w:r>
      <w:r>
        <w:rPr>
          <w:rFonts w:hint="eastAsia" w:ascii="仿宋_GB2312" w:eastAsia="仿宋_GB2312"/>
          <w:sz w:val="32"/>
          <w:szCs w:val="32"/>
        </w:rPr>
        <w:t>（豫</w:t>
      </w:r>
      <w:r>
        <w:rPr>
          <w:rFonts w:hint="default" w:ascii="仿宋_GB2312" w:eastAsia="仿宋_GB2312"/>
          <w:sz w:val="32"/>
          <w:szCs w:val="32"/>
        </w:rPr>
        <w:t>民文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</w:rPr>
        <w:t>158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default" w:ascii="仿宋_GB2312" w:eastAsia="仿宋_GB2312"/>
          <w:sz w:val="32"/>
          <w:szCs w:val="32"/>
        </w:rPr>
        <w:t>、《郑州市殡葬管理条例》、《郑州市公墓管理办法》、《中共郑州市委办公厅郑州市人民政府办公厅关于深入贯彻落实&lt;河南省推进移风易俗倡树文明殡葬新风实施方案&gt;的通知》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郑办网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default" w:ascii="仿宋_GB2312" w:eastAsia="仿宋_GB2312"/>
          <w:sz w:val="32"/>
          <w:szCs w:val="32"/>
        </w:rPr>
        <w:t>、《郑州市民政局关于进一步加强经营性公墓管理工作的通知》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sz w:val="32"/>
          <w:szCs w:val="32"/>
        </w:rPr>
        <w:t>郑民文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default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仿宋_GB2312" w:eastAsia="仿宋_GB2312"/>
          <w:sz w:val="32"/>
          <w:szCs w:val="32"/>
        </w:rPr>
        <w:t>118</w:t>
      </w:r>
      <w:r>
        <w:rPr>
          <w:rFonts w:hint="eastAsia" w:ascii="仿宋_GB2312" w:eastAsia="仿宋_GB2312"/>
          <w:sz w:val="32"/>
          <w:szCs w:val="32"/>
        </w:rPr>
        <w:t>号）等有关法规政策，</w:t>
      </w:r>
      <w:r>
        <w:rPr>
          <w:rFonts w:hint="eastAsia" w:ascii="仿宋" w:hAnsi="仿宋" w:eastAsia="仿宋"/>
          <w:color w:val="000000"/>
          <w:sz w:val="32"/>
          <w:szCs w:val="32"/>
        </w:rPr>
        <w:t>我处起草了</w:t>
      </w:r>
      <w:r>
        <w:rPr>
          <w:rFonts w:ascii="仿宋" w:hAnsi="仿宋" w:eastAsia="仿宋"/>
          <w:color w:val="000000"/>
          <w:sz w:val="32"/>
          <w:szCs w:val="32"/>
        </w:rPr>
        <w:t>《关于</w:t>
      </w:r>
      <w:r>
        <w:rPr>
          <w:rFonts w:ascii="仿宋" w:hAnsi="仿宋" w:eastAsia="仿宋"/>
          <w:color w:val="000000"/>
          <w:sz w:val="32"/>
          <w:szCs w:val="32"/>
        </w:rPr>
        <w:t>印发</w:t>
      </w:r>
      <w:r>
        <w:rPr>
          <w:rFonts w:hint="default" w:ascii="仿宋" w:hAnsi="仿宋" w:eastAsia="仿宋"/>
          <w:color w:val="000000"/>
          <w:sz w:val="32"/>
          <w:szCs w:val="32"/>
          <w:lang w:eastAsia="zh-CN"/>
        </w:rPr>
        <w:t>&lt;郑州市经营性公墓年检暂行办法&gt;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通知》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拟以郑州市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民政局</w:t>
      </w:r>
      <w:r>
        <w:rPr>
          <w:rFonts w:hint="eastAsia" w:ascii="仿宋" w:hAnsi="仿宋" w:eastAsia="仿宋"/>
          <w:color w:val="000000"/>
          <w:sz w:val="32"/>
          <w:szCs w:val="32"/>
        </w:rPr>
        <w:t>名义印发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现将有关情况说明如下</w:t>
      </w:r>
      <w:r>
        <w:rPr>
          <w:rFonts w:ascii="仿宋" w:hAnsi="仿宋" w:eastAsia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一、背景情况及政策依据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28"/>
          <w:szCs w:val="28"/>
        </w:rPr>
      </w:pPr>
      <w:r>
        <w:rPr>
          <w:rFonts w:hint="default" w:ascii="仿宋" w:hAnsi="仿宋" w:eastAsia="仿宋"/>
          <w:sz w:val="32"/>
          <w:szCs w:val="32"/>
          <w:lang w:eastAsia="zh-CN"/>
        </w:rPr>
        <w:t>根据《河南省民政厅关于改革经营性公墓审批监管工作的通知》（豫民文〔2021〕158号）要求，</w:t>
      </w:r>
      <w:r>
        <w:rPr>
          <w:rFonts w:hint="eastAsia" w:ascii="仿宋_GB2312" w:hAnsi="方正仿宋_GBK" w:eastAsia="仿宋_GB2312" w:cs="方正仿宋_GBK"/>
          <w:sz w:val="28"/>
          <w:szCs w:val="28"/>
        </w:rPr>
        <w:t>经营性公墓(含骨灰堂)审批权限，包括经营性公墓新建、迁建、扩建、行政许可变更和经营许可证发放等事项，下放至省辖市级民政部门，审批结果报省民政厅备案，省直管县(市)经营性公墓审批事项由所在省辖市负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eastAsia="zh-CN"/>
        </w:rPr>
        <w:t>加强</w:t>
      </w:r>
      <w:r>
        <w:rPr>
          <w:rFonts w:hint="default" w:ascii="仿宋" w:hAnsi="仿宋" w:eastAsia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/>
          <w:sz w:val="32"/>
          <w:szCs w:val="32"/>
          <w:lang w:eastAsia="zh-CN"/>
        </w:rPr>
        <w:t>经营性公墓管理，进一步规范经营性公墓建设和经营行为，提高公墓管理水平和服务能力，满足人民群众殡葬服务需求，有效维护群众合法权益，更好地服务于保障和改善民生。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我处</w:t>
      </w:r>
      <w:r>
        <w:rPr>
          <w:rFonts w:hint="eastAsia" w:ascii="仿宋" w:hAnsi="仿宋" w:eastAsia="仿宋"/>
          <w:sz w:val="32"/>
          <w:szCs w:val="32"/>
        </w:rPr>
        <w:t>起草了</w:t>
      </w:r>
      <w:r>
        <w:rPr>
          <w:rFonts w:ascii="仿宋" w:hAnsi="仿宋" w:eastAsia="仿宋"/>
          <w:color w:val="000000"/>
          <w:sz w:val="32"/>
          <w:szCs w:val="32"/>
        </w:rPr>
        <w:t>《关于印发</w:t>
      </w:r>
      <w:r>
        <w:rPr>
          <w:rFonts w:hint="default" w:ascii="仿宋" w:hAnsi="仿宋" w:eastAsia="仿宋"/>
          <w:color w:val="000000"/>
          <w:sz w:val="32"/>
          <w:szCs w:val="32"/>
          <w:lang w:eastAsia="zh-CN"/>
        </w:rPr>
        <w:t>&lt;郑州市经营性公墓年检暂行办法&gt;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通知》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文件起草过程中，结合我市实际，借鉴了</w:t>
      </w:r>
      <w:r>
        <w:rPr>
          <w:rFonts w:hint="eastAsia" w:ascii="仿宋_GB2312" w:eastAsia="仿宋_GB2312"/>
          <w:sz w:val="32"/>
          <w:szCs w:val="32"/>
        </w:rPr>
        <w:t>国务院《殡葬管理条例》、民政部《公墓管理暂行办法》、《河南省殡葬管理办法》</w:t>
      </w:r>
      <w:r>
        <w:rPr>
          <w:rFonts w:hint="default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default" w:ascii="仿宋_GB2312" w:eastAsia="仿宋_GB2312"/>
          <w:sz w:val="32"/>
          <w:szCs w:val="32"/>
        </w:rPr>
        <w:t>中共河南省委办公厅河南省人民政府办公厅关于印发&lt;河南生推进移风易俗倡树文明殡葬新风实施方案&gt;</w:t>
      </w:r>
      <w:r>
        <w:rPr>
          <w:rFonts w:hint="eastAsia" w:ascii="仿宋_GB2312" w:eastAsia="仿宋_GB2312"/>
          <w:sz w:val="32"/>
          <w:szCs w:val="32"/>
        </w:rPr>
        <w:t>的通知》</w:t>
      </w:r>
      <w:r>
        <w:rPr>
          <w:rFonts w:hint="default" w:ascii="仿宋_GB2312" w:eastAsia="仿宋_GB2312"/>
          <w:sz w:val="32"/>
          <w:szCs w:val="32"/>
        </w:rPr>
        <w:t>、《河南省民政厅关于印发&lt;河南省经营性公墓年检实施办法&gt;的通知》、《河南省民政厅关于改革经营性公墓审批监管工作的通知》、《郑州市殡葬管理条例》、《郑州市公墓管理办法》、《中共郑州市委办公厅郑州市人民政府办公厅关于深入贯彻落实&lt;河南省推进移风易俗倡树文明殡葬新风实施方案&gt;的通知》、《郑州市民政局关于进一步加强经营性公墓管理工作的通知》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等文件。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二、文件征求意见情况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通过发函的形式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征求了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郑州市相关区县（市）民政局的意见建议，均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无意见。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三、文件主要内容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5"/>
        <w:textAlignment w:val="auto"/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《关于印发</w:t>
      </w:r>
      <w:r>
        <w:rPr>
          <w:rFonts w:hint="default" w:ascii="仿宋" w:hAnsi="仿宋" w:eastAsia="仿宋"/>
          <w:color w:val="000000"/>
          <w:sz w:val="32"/>
          <w:szCs w:val="32"/>
          <w:lang w:eastAsia="zh-CN"/>
        </w:rPr>
        <w:t>&lt;郑州市经营性公墓年检暂行办法&gt;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</w:t>
      </w:r>
      <w:r>
        <w:rPr>
          <w:rFonts w:ascii="仿宋" w:hAnsi="仿宋" w:eastAsia="仿宋"/>
          <w:color w:val="000000"/>
          <w:sz w:val="32"/>
          <w:szCs w:val="32"/>
        </w:rPr>
        <w:t>通知》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共</w:t>
      </w:r>
      <w:r>
        <w:rPr>
          <w:rFonts w:hint="default" w:ascii="仿宋" w:hAnsi="仿宋" w:eastAsia="仿宋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项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内容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明确了</w:t>
      </w:r>
      <w:r>
        <w:rPr>
          <w:rFonts w:hint="default" w:ascii="仿宋" w:hAnsi="仿宋" w:eastAsia="仿宋"/>
          <w:color w:val="000000"/>
          <w:kern w:val="0"/>
          <w:sz w:val="32"/>
          <w:szCs w:val="32"/>
          <w:lang w:eastAsia="zh-CN"/>
        </w:rPr>
        <w:t>年检范围、年检时间和组织形式、年检需提供的材料、年检内容、年检评分标准、年检等级评定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等。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986"/>
    <w:rsid w:val="002D7986"/>
    <w:rsid w:val="0084665B"/>
    <w:rsid w:val="00972CB9"/>
    <w:rsid w:val="00A12C9A"/>
    <w:rsid w:val="00EA7336"/>
    <w:rsid w:val="0B5D55BE"/>
    <w:rsid w:val="1CD97BF5"/>
    <w:rsid w:val="1EC802AF"/>
    <w:rsid w:val="368D18C4"/>
    <w:rsid w:val="3A2A714D"/>
    <w:rsid w:val="57E63EEF"/>
    <w:rsid w:val="64D53579"/>
    <w:rsid w:val="F5F3A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  <w:ind w:firstLine="640" w:firstLineChars="200"/>
    </w:pPr>
    <w:rPr>
      <w:rFonts w:hint="default" w:ascii="仿宋" w:hAnsi="仿宋"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1635</Characters>
  <Lines>13</Lines>
  <Paragraphs>3</Paragraphs>
  <TotalTime>3</TotalTime>
  <ScaleCrop>false</ScaleCrop>
  <LinksUpToDate>false</LinksUpToDate>
  <CharactersWithSpaces>1918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2020-02-22T16:34:00Z</dcterms:created>
  <dc:creator>hhhdell</dc:creator>
  <cp:lastModifiedBy>greatwall</cp:lastModifiedBy>
  <cp:lastPrinted>2020-09-21T18:40:00Z</cp:lastPrinted>
  <dcterms:modified xsi:type="dcterms:W3CDTF">2023-10-02T16:56:44Z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